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192" w:afterAutospacing="0" w:line="672" w:lineRule="atLeast"/>
        <w:ind w:left="-180" w:right="-180"/>
        <w:rPr>
          <w:rFonts w:ascii="siyuan" w:hAnsi="siyuan" w:eastAsia="siyuan" w:cs="siyuan"/>
          <w:b/>
          <w:bCs/>
          <w:color w:val="0A304E"/>
          <w:spacing w:val="-12"/>
          <w:sz w:val="57"/>
          <w:szCs w:val="57"/>
        </w:rPr>
      </w:pPr>
      <w:r>
        <w:rPr>
          <w:rFonts w:hint="default" w:ascii="siyuan" w:hAnsi="siyuan" w:eastAsia="siyuan" w:cs="siyuan"/>
          <w:b/>
          <w:bCs/>
          <w:color w:val="0A304E"/>
          <w:spacing w:val="-12"/>
          <w:sz w:val="57"/>
          <w:szCs w:val="57"/>
          <w:bdr w:val="none" w:color="auto" w:sz="0" w:space="0"/>
        </w:rPr>
        <w:t>制造标准</w:t>
      </w:r>
    </w:p>
    <w:p>
      <w:pPr>
        <w:pStyle w:val="5"/>
        <w:keepNext w:val="0"/>
        <w:keepLines w:val="0"/>
        <w:widowControl/>
        <w:suppressLineNumbers w:val="0"/>
        <w:spacing w:before="0" w:beforeAutospacing="0" w:after="120" w:afterAutospacing="0" w:line="288" w:lineRule="atLeast"/>
        <w:ind w:left="-180" w:right="-180"/>
        <w:rPr>
          <w:rFonts w:hint="default" w:ascii="siyuan" w:hAnsi="siyuan" w:eastAsia="siyuan" w:cs="siyuan"/>
          <w:sz w:val="19"/>
          <w:szCs w:val="19"/>
        </w:rPr>
      </w:pPr>
      <w:r>
        <w:rPr>
          <w:rFonts w:hint="default" w:ascii="siyuan" w:hAnsi="siyuan" w:eastAsia="siyuan" w:cs="siyuan"/>
          <w:sz w:val="19"/>
          <w:szCs w:val="19"/>
        </w:rPr>
        <w:t>最近更新日期 2022年3月11日</w:t>
      </w:r>
    </w:p>
    <w:p>
      <w:pPr>
        <w:keepNext w:val="0"/>
        <w:keepLines w:val="0"/>
        <w:widowControl/>
        <w:suppressLineNumbers w:val="0"/>
        <w:pBdr>
          <w:left w:val="none" w:color="auto" w:sz="0" w:space="0"/>
          <w:right w:val="none" w:color="auto" w:sz="0" w:space="0"/>
        </w:pBdr>
        <w:ind w:left="-180" w:right="-180"/>
        <w:jc w:val="left"/>
        <w:rPr>
          <w:rFonts w:hint="default" w:ascii="siyuan" w:hAnsi="siyuan" w:eastAsia="siyuan" w:cs="siyuan"/>
        </w:rPr>
      </w:pPr>
      <w:r>
        <w:rPr>
          <w:rFonts w:hint="default" w:ascii="siyuan" w:hAnsi="siyuan" w:eastAsia="siyuan" w:cs="siyuan"/>
          <w:color w:val="FFFFFF"/>
          <w:kern w:val="0"/>
          <w:sz w:val="16"/>
          <w:szCs w:val="16"/>
          <w:u w:val="none"/>
          <w:bdr w:val="single" w:color="0E6AED" w:sz="4" w:space="0"/>
          <w:shd w:val="clear" w:fill="0E6AED"/>
          <w:lang w:val="en-US" w:eastAsia="zh-CN" w:bidi="ar"/>
        </w:rPr>
        <w:fldChar w:fldCharType="begin"/>
      </w:r>
      <w:r>
        <w:rPr>
          <w:rFonts w:hint="default" w:ascii="siyuan" w:hAnsi="siyuan" w:eastAsia="siyuan" w:cs="siyuan"/>
          <w:color w:val="FFFFFF"/>
          <w:kern w:val="0"/>
          <w:sz w:val="16"/>
          <w:szCs w:val="16"/>
          <w:u w:val="none"/>
          <w:bdr w:val="single" w:color="0E6AED" w:sz="4" w:space="0"/>
          <w:shd w:val="clear" w:fill="0E6AED"/>
          <w:lang w:val="en-US" w:eastAsia="zh-CN" w:bidi="ar"/>
        </w:rPr>
        <w:instrText xml:space="preserve"> HYPERLINK "https://get.xometry.asia/" </w:instrText>
      </w:r>
      <w:r>
        <w:rPr>
          <w:rFonts w:hint="default" w:ascii="siyuan" w:hAnsi="siyuan" w:eastAsia="siyuan" w:cs="siyuan"/>
          <w:color w:val="FFFFFF"/>
          <w:kern w:val="0"/>
          <w:sz w:val="16"/>
          <w:szCs w:val="16"/>
          <w:u w:val="none"/>
          <w:bdr w:val="single" w:color="0E6AED" w:sz="4" w:space="0"/>
          <w:shd w:val="clear" w:fill="0E6AED"/>
          <w:lang w:val="en-US" w:eastAsia="zh-CN" w:bidi="ar"/>
        </w:rPr>
        <w:fldChar w:fldCharType="separate"/>
      </w:r>
      <w:r>
        <w:rPr>
          <w:rStyle w:val="8"/>
          <w:rFonts w:hint="default" w:ascii="siyuan" w:hAnsi="siyuan" w:eastAsia="siyuan" w:cs="siyuan"/>
          <w:color w:val="FFFFFF"/>
          <w:sz w:val="16"/>
          <w:szCs w:val="16"/>
          <w:u w:val="none"/>
          <w:bdr w:val="single" w:color="0E6AED" w:sz="4" w:space="0"/>
          <w:shd w:val="clear" w:fill="0E6AED"/>
        </w:rPr>
        <w:t>获取实时报价</w:t>
      </w:r>
      <w:r>
        <w:rPr>
          <w:rFonts w:hint="default" w:ascii="siyuan" w:hAnsi="siyuan" w:eastAsia="siyuan" w:cs="siyuan"/>
          <w:color w:val="FFFFFF"/>
          <w:kern w:val="0"/>
          <w:sz w:val="16"/>
          <w:szCs w:val="16"/>
          <w:u w:val="none"/>
          <w:bdr w:val="single" w:color="0E6AED" w:sz="4" w:space="0"/>
          <w:shd w:val="clear" w:fill="0E6AED"/>
          <w:lang w:val="en-US" w:eastAsia="zh-CN" w:bidi="ar"/>
        </w:rPr>
        <w:fldChar w:fldCharType="end"/>
      </w:r>
    </w:p>
    <w:p>
      <w:pPr>
        <w:keepNext w:val="0"/>
        <w:keepLines w:val="0"/>
        <w:widowControl/>
        <w:suppressLineNumbers w:val="0"/>
        <w:pBdr>
          <w:left w:val="none" w:color="auto" w:sz="0" w:space="0"/>
          <w:right w:val="none" w:color="auto" w:sz="0" w:space="0"/>
        </w:pBdr>
        <w:ind w:left="-180" w:right="-180"/>
        <w:jc w:val="left"/>
        <w:rPr>
          <w:rFonts w:hint="default" w:ascii="siyuan" w:hAnsi="siyuan" w:eastAsia="siyuan" w:cs="siyuan"/>
        </w:rPr>
      </w:pPr>
      <w:r>
        <w:rPr>
          <w:rFonts w:hint="default" w:ascii="siyuan" w:hAnsi="siyuan" w:eastAsia="siyuan" w:cs="siyuan"/>
          <w:kern w:val="0"/>
          <w:sz w:val="24"/>
          <w:szCs w:val="24"/>
          <w:bdr w:val="none" w:color="auto" w:sz="0" w:space="0"/>
          <w:lang w:val="en-US" w:eastAsia="zh-CN" w:bidi="ar"/>
        </w:rPr>
        <w:drawing>
          <wp:inline distT="0" distB="0" distL="114300" distR="114300">
            <wp:extent cx="9525000" cy="4238625"/>
            <wp:effectExtent l="0" t="0" r="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000" cy="4238625"/>
                    </a:xfrm>
                    <a:prstGeom prst="rect">
                      <a:avLst/>
                    </a:prstGeom>
                    <a:noFill/>
                    <a:ln w="9525">
                      <a:noFill/>
                    </a:ln>
                  </pic:spPr>
                </pic:pic>
              </a:graphicData>
            </a:graphic>
          </wp:inline>
        </w:drawing>
      </w:r>
    </w:p>
    <w:p>
      <w:pPr>
        <w:pStyle w:val="3"/>
        <w:keepNext w:val="0"/>
        <w:keepLines w:val="0"/>
        <w:widowControl/>
        <w:suppressLineNumbers w:val="0"/>
        <w:spacing w:before="0" w:beforeAutospacing="0"/>
        <w:ind w:left="-180" w:right="-180"/>
        <w:rPr>
          <w:rFonts w:hint="default" w:ascii="siyuan" w:hAnsi="siyuan" w:eastAsia="siyuan" w:cs="siyuan"/>
        </w:rPr>
      </w:pPr>
      <w:r>
        <w:rPr>
          <w:rFonts w:hint="default" w:ascii="siyuan" w:hAnsi="siyuan" w:eastAsia="siyuan" w:cs="siyuan"/>
          <w:bdr w:val="none" w:color="auto" w:sz="0" w:space="0"/>
        </w:rPr>
        <w:t>制造标准</w:t>
      </w:r>
    </w:p>
    <w:p>
      <w:pPr>
        <w:pStyle w:val="5"/>
        <w:keepNext w:val="0"/>
        <w:keepLines w:val="0"/>
        <w:widowControl/>
        <w:suppressLineNumbers w:val="0"/>
        <w:spacing w:before="0" w:beforeAutospacing="0" w:after="120" w:afterAutospacing="0" w:line="288" w:lineRule="atLeast"/>
        <w:ind w:left="-180" w:right="-180"/>
        <w:rPr>
          <w:rFonts w:hint="default" w:ascii="siyuan" w:hAnsi="siyuan" w:eastAsia="siyuan" w:cs="siyuan"/>
          <w:sz w:val="19"/>
          <w:szCs w:val="19"/>
        </w:rPr>
      </w:pPr>
      <w:r>
        <w:rPr>
          <w:rFonts w:hint="default" w:ascii="siyuan" w:hAnsi="siyuan" w:eastAsia="siyuan" w:cs="siyuan"/>
          <w:sz w:val="19"/>
          <w:szCs w:val="19"/>
          <w:bdr w:val="none" w:color="auto" w:sz="0" w:space="0"/>
        </w:rPr>
        <w:t>除非在报价中另有约定公差范围，否则</w:t>
      </w:r>
      <w:r>
        <w:rPr>
          <w:rFonts w:hint="eastAsia" w:ascii="siyuan" w:hAnsi="siyuan" w:eastAsia="宋体" w:cs="siyuan"/>
          <w:sz w:val="19"/>
          <w:szCs w:val="19"/>
          <w:bdr w:val="none" w:color="auto" w:sz="0" w:space="0"/>
          <w:lang w:eastAsia="zh-CN"/>
        </w:rPr>
        <w:t>好成本</w:t>
      </w:r>
      <w:r>
        <w:rPr>
          <w:rFonts w:hint="eastAsia" w:ascii="楷体" w:hAnsi="楷体" w:eastAsia="楷体" w:cs="楷体"/>
          <w:sz w:val="19"/>
          <w:szCs w:val="19"/>
          <w:bdr w:val="none" w:color="auto" w:sz="0" w:space="0"/>
          <w:lang w:eastAsia="zh-CN"/>
        </w:rPr>
        <w:t>HCB</w:t>
      </w:r>
      <w:r>
        <w:rPr>
          <w:rFonts w:hint="default" w:ascii="siyuan" w:hAnsi="siyuan" w:eastAsia="siyuan" w:cs="siyuan"/>
          <w:sz w:val="19"/>
          <w:szCs w:val="19"/>
          <w:bdr w:val="none" w:color="auto" w:sz="0" w:space="0"/>
        </w:rPr>
        <w:t>将执行以下公差标准，该标准会因应您所选择的制造工艺而有所变化。</w:t>
      </w:r>
      <w:r>
        <w:rPr>
          <w:rFonts w:hint="eastAsia" w:ascii="siyuan" w:hAnsi="siyuan" w:eastAsia="宋体" w:cs="siyuan"/>
          <w:sz w:val="19"/>
          <w:szCs w:val="19"/>
          <w:bdr w:val="none" w:color="auto" w:sz="0" w:space="0"/>
          <w:lang w:eastAsia="zh-CN"/>
        </w:rPr>
        <w:t>好成本</w:t>
      </w:r>
      <w:r>
        <w:rPr>
          <w:rFonts w:hint="eastAsia" w:ascii="楷体" w:hAnsi="楷体" w:eastAsia="楷体" w:cs="楷体"/>
          <w:sz w:val="19"/>
          <w:szCs w:val="19"/>
          <w:bdr w:val="none" w:color="auto" w:sz="0" w:space="0"/>
          <w:lang w:eastAsia="zh-CN"/>
        </w:rPr>
        <w:t>HCB</w:t>
      </w:r>
      <w:r>
        <w:rPr>
          <w:rFonts w:hint="eastAsia" w:ascii="楷体" w:hAnsi="楷体" w:eastAsia="楷体" w:cs="楷体"/>
          <w:sz w:val="19"/>
          <w:szCs w:val="19"/>
          <w:bdr w:val="none" w:color="auto" w:sz="0" w:space="0"/>
        </w:rPr>
        <w:t xml:space="preserve"> </w:t>
      </w:r>
      <w:r>
        <w:rPr>
          <w:rFonts w:hint="default" w:ascii="siyuan" w:hAnsi="siyuan" w:eastAsia="siyuan" w:cs="siyuan"/>
          <w:sz w:val="19"/>
          <w:szCs w:val="19"/>
          <w:bdr w:val="none" w:color="auto" w:sz="0" w:space="0"/>
        </w:rPr>
        <w:t>已经开发出一套完整的设计指引，您可以在选定最终制造方法后参考指引中的提示及技巧以进一步优化工件设计。假如设计指引与</w:t>
      </w:r>
      <w:r>
        <w:rPr>
          <w:rFonts w:hint="eastAsia" w:ascii="siyuan" w:hAnsi="siyuan" w:eastAsia="宋体" w:cs="siyuan"/>
          <w:sz w:val="19"/>
          <w:szCs w:val="19"/>
          <w:bdr w:val="none" w:color="auto" w:sz="0" w:space="0"/>
          <w:lang w:eastAsia="zh-CN"/>
        </w:rPr>
        <w:t>好成本</w:t>
      </w:r>
      <w:r>
        <w:rPr>
          <w:rFonts w:hint="eastAsia" w:ascii="楷体" w:hAnsi="楷体" w:eastAsia="楷体" w:cs="楷体"/>
          <w:sz w:val="19"/>
          <w:szCs w:val="19"/>
          <w:bdr w:val="none" w:color="auto" w:sz="0" w:space="0"/>
          <w:lang w:eastAsia="zh-CN"/>
        </w:rPr>
        <w:t>HCB</w:t>
      </w:r>
      <w:r>
        <w:rPr>
          <w:rFonts w:hint="default" w:ascii="siyuan" w:hAnsi="siyuan" w:eastAsia="siyuan" w:cs="siyuan"/>
          <w:sz w:val="19"/>
          <w:szCs w:val="19"/>
          <w:bdr w:val="none" w:color="auto" w:sz="0" w:space="0"/>
        </w:rPr>
        <w:t>制造标准有冲突，将以此制造标准为准。</w:t>
      </w:r>
    </w:p>
    <w:p>
      <w:pPr>
        <w:pStyle w:val="3"/>
        <w:keepNext w:val="0"/>
        <w:keepLines w:val="0"/>
        <w:widowControl/>
        <w:suppressLineNumbers w:val="0"/>
        <w:spacing w:before="0" w:beforeAutospacing="0"/>
        <w:ind w:left="-180" w:right="-180"/>
        <w:rPr>
          <w:rFonts w:hint="default" w:ascii="siyuan" w:hAnsi="siyuan" w:eastAsia="siyuan" w:cs="siyuan"/>
        </w:rPr>
      </w:pPr>
      <w:r>
        <w:rPr>
          <w:rFonts w:hint="default" w:ascii="siyuan" w:hAnsi="siyuan" w:eastAsia="siyuan" w:cs="siyuan"/>
          <w:bdr w:val="none" w:color="auto" w:sz="0" w:space="0"/>
        </w:rPr>
        <w:t>工艺质量标准</w:t>
      </w:r>
    </w:p>
    <w:p>
      <w:pPr>
        <w:pStyle w:val="5"/>
        <w:keepNext w:val="0"/>
        <w:keepLines w:val="0"/>
        <w:widowControl/>
        <w:suppressLineNumbers w:val="0"/>
        <w:spacing w:before="0" w:beforeAutospacing="0" w:after="120" w:afterAutospacing="0" w:line="288" w:lineRule="atLeast"/>
        <w:ind w:left="-180" w:right="-180"/>
        <w:rPr>
          <w:rFonts w:hint="default" w:ascii="siyuan" w:hAnsi="siyuan" w:eastAsia="siyuan" w:cs="siyuan"/>
          <w:sz w:val="19"/>
          <w:szCs w:val="19"/>
        </w:rPr>
      </w:pPr>
      <w:r>
        <w:rPr>
          <w:rFonts w:hint="eastAsia" w:ascii="siyuan" w:hAnsi="siyuan" w:eastAsia="宋体" w:cs="siyuan"/>
          <w:sz w:val="19"/>
          <w:szCs w:val="19"/>
          <w:bdr w:val="none" w:color="auto" w:sz="0" w:space="0"/>
          <w:lang w:eastAsia="zh-CN"/>
        </w:rPr>
        <w:t>好成本</w:t>
      </w:r>
      <w:r>
        <w:rPr>
          <w:rFonts w:hint="eastAsia" w:ascii="楷体" w:hAnsi="楷体" w:eastAsia="楷体" w:cs="楷体"/>
          <w:sz w:val="19"/>
          <w:szCs w:val="19"/>
          <w:bdr w:val="none" w:color="auto" w:sz="0" w:space="0"/>
          <w:lang w:eastAsia="zh-CN"/>
        </w:rPr>
        <w:t>HCB</w:t>
      </w:r>
      <w:r>
        <w:rPr>
          <w:rFonts w:hint="default" w:ascii="siyuan" w:hAnsi="siyuan" w:eastAsia="siyuan" w:cs="siyuan"/>
          <w:sz w:val="19"/>
          <w:szCs w:val="19"/>
          <w:bdr w:val="none" w:color="auto" w:sz="0" w:space="0"/>
        </w:rPr>
        <w:t xml:space="preserve"> 对订单的工艺质量标准如下（如适用于对应工艺）。 如果您的项目需要更严格或特殊的控制标准，请在您的工程图纸、订单或标准说明内清晰列出相关要求。</w:t>
      </w:r>
    </w:p>
    <w:p>
      <w:pPr>
        <w:pStyle w:val="4"/>
        <w:keepNext w:val="0"/>
        <w:keepLines w:val="0"/>
        <w:widowControl/>
        <w:suppressLineNumbers w:val="0"/>
        <w:spacing w:before="0" w:beforeAutospacing="0"/>
        <w:ind w:left="-180" w:right="-180"/>
        <w:rPr>
          <w:rFonts w:hint="default" w:ascii="siyuan" w:hAnsi="siyuan" w:eastAsia="siyuan" w:cs="siyuan"/>
        </w:rPr>
      </w:pPr>
      <w:r>
        <w:rPr>
          <w:rFonts w:hint="default" w:ascii="siyuan" w:hAnsi="siyuan" w:eastAsia="siyuan" w:cs="siyuan"/>
          <w:bdr w:val="none" w:color="auto" w:sz="0" w:space="0"/>
        </w:rPr>
        <w:t>成品表面处理</w:t>
      </w:r>
      <w:bookmarkStart w:id="0" w:name="_GoBack"/>
      <w:bookmarkEnd w:id="0"/>
    </w:p>
    <w:p>
      <w:pPr>
        <w:keepNext w:val="0"/>
        <w:keepLines w:val="0"/>
        <w:widowControl/>
        <w:numPr>
          <w:ilvl w:val="0"/>
          <w:numId w:val="1"/>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成本表面油漆均匀喷涂，包括工件主件及已装配的组件。</w:t>
      </w:r>
    </w:p>
    <w:p>
      <w:pPr>
        <w:keepNext w:val="0"/>
        <w:keepLines w:val="0"/>
        <w:widowControl/>
        <w:numPr>
          <w:ilvl w:val="0"/>
          <w:numId w:val="1"/>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成品表面没有质量缺陷，没有碎片、刮痕或其他损坏。</w:t>
      </w:r>
    </w:p>
    <w:p>
      <w:pPr>
        <w:pStyle w:val="4"/>
        <w:keepNext w:val="0"/>
        <w:keepLines w:val="0"/>
        <w:widowControl/>
        <w:suppressLineNumbers w:val="0"/>
        <w:spacing w:before="0" w:beforeAutospacing="0"/>
        <w:ind w:left="-180" w:right="-180"/>
        <w:rPr>
          <w:rFonts w:hint="default" w:ascii="siyuan" w:hAnsi="siyuan" w:eastAsia="siyuan" w:cs="siyuan"/>
        </w:rPr>
      </w:pPr>
      <w:r>
        <w:rPr>
          <w:rFonts w:hint="default" w:ascii="siyuan" w:hAnsi="siyuan" w:eastAsia="siyuan" w:cs="siyuan"/>
          <w:bdr w:val="none" w:color="auto" w:sz="0" w:space="0"/>
        </w:rPr>
        <w:t>铣削台阶、工装夹具及振颤</w:t>
      </w:r>
    </w:p>
    <w:p>
      <w:pPr>
        <w:keepNext w:val="0"/>
        <w:keepLines w:val="0"/>
        <w:widowControl/>
        <w:numPr>
          <w:ilvl w:val="0"/>
          <w:numId w:val="2"/>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铣削产品加工面圆滑顺畅，没有刀具残留的毛刺、振颤、夹痕等缺陷，满足技术规格书内的表面粗糙度标准。</w:t>
      </w:r>
    </w:p>
    <w:p>
      <w:pPr>
        <w:keepNext w:val="0"/>
        <w:keepLines w:val="0"/>
        <w:widowControl/>
        <w:numPr>
          <w:ilvl w:val="0"/>
          <w:numId w:val="2"/>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指定的关键加工面无任何铣削台阶或者夹具痕迹，整个加工面无凹凸不平。</w:t>
      </w:r>
    </w:p>
    <w:p>
      <w:pPr>
        <w:keepNext w:val="0"/>
        <w:keepLines w:val="0"/>
        <w:widowControl/>
        <w:numPr>
          <w:ilvl w:val="0"/>
          <w:numId w:val="2"/>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加工面需要满足表面粗糙度的相关技术指标。</w:t>
      </w:r>
    </w:p>
    <w:p>
      <w:pPr>
        <w:pStyle w:val="4"/>
        <w:keepNext w:val="0"/>
        <w:keepLines w:val="0"/>
        <w:widowControl/>
        <w:suppressLineNumbers w:val="0"/>
        <w:spacing w:before="0" w:beforeAutospacing="0"/>
        <w:ind w:left="-180" w:right="-180"/>
        <w:rPr>
          <w:rFonts w:hint="default" w:ascii="siyuan" w:hAnsi="siyuan" w:eastAsia="siyuan" w:cs="siyuan"/>
        </w:rPr>
      </w:pPr>
      <w:r>
        <w:rPr>
          <w:rFonts w:hint="default" w:ascii="siyuan" w:hAnsi="siyuan" w:eastAsia="siyuan" w:cs="siyuan"/>
          <w:bdr w:val="none" w:color="auto" w:sz="0" w:space="0"/>
        </w:rPr>
        <w:t>碎片、毛刺及锋利边缘</w:t>
      </w:r>
    </w:p>
    <w:p>
      <w:pPr>
        <w:keepNext w:val="0"/>
        <w:keepLines w:val="0"/>
        <w:widowControl/>
        <w:numPr>
          <w:ilvl w:val="0"/>
          <w:numId w:val="3"/>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所有面板裸露的边缘都不得有毛刺、披锋或碎片残留。**</w:t>
      </w:r>
    </w:p>
    <w:p>
      <w:pPr>
        <w:keepNext w:val="0"/>
        <w:keepLines w:val="0"/>
        <w:widowControl/>
        <w:numPr>
          <w:ilvl w:val="0"/>
          <w:numId w:val="3"/>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**除非特别指定表面处理工艺，否则仅做切割的板件不作去毛刺处理。</w:t>
      </w:r>
    </w:p>
    <w:p>
      <w:pPr>
        <w:pStyle w:val="4"/>
        <w:keepNext w:val="0"/>
        <w:keepLines w:val="0"/>
        <w:widowControl/>
        <w:suppressLineNumbers w:val="0"/>
        <w:spacing w:before="0" w:beforeAutospacing="0"/>
        <w:ind w:left="-180" w:right="-180"/>
        <w:rPr>
          <w:rFonts w:hint="default" w:ascii="siyuan" w:hAnsi="siyuan" w:eastAsia="siyuan" w:cs="siyuan"/>
        </w:rPr>
      </w:pPr>
      <w:r>
        <w:rPr>
          <w:rFonts w:hint="default" w:ascii="siyuan" w:hAnsi="siyuan" w:eastAsia="siyuan" w:cs="siyuan"/>
          <w:bdr w:val="none" w:color="auto" w:sz="0" w:space="0"/>
        </w:rPr>
        <w:t>异物损伤（FOD）</w:t>
      </w:r>
    </w:p>
    <w:p>
      <w:pPr>
        <w:keepNext w:val="0"/>
        <w:keepLines w:val="0"/>
        <w:widowControl/>
        <w:numPr>
          <w:ilvl w:val="0"/>
          <w:numId w:val="4"/>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表面无切割液、金属碎片及其他异物残留。</w:t>
      </w:r>
    </w:p>
    <w:p>
      <w:pPr>
        <w:pStyle w:val="4"/>
        <w:keepNext w:val="0"/>
        <w:keepLines w:val="0"/>
        <w:widowControl/>
        <w:suppressLineNumbers w:val="0"/>
        <w:spacing w:before="0" w:beforeAutospacing="0"/>
        <w:ind w:left="-180" w:right="-180"/>
        <w:rPr>
          <w:rFonts w:hint="default" w:ascii="siyuan" w:hAnsi="siyuan" w:eastAsia="siyuan" w:cs="siyuan"/>
        </w:rPr>
      </w:pPr>
      <w:r>
        <w:rPr>
          <w:rFonts w:hint="default" w:ascii="siyuan" w:hAnsi="siyuan" w:eastAsia="siyuan" w:cs="siyuan"/>
          <w:bdr w:val="none" w:color="auto" w:sz="0" w:space="0"/>
        </w:rPr>
        <w:t>螺纹</w:t>
      </w:r>
    </w:p>
    <w:p>
      <w:pPr>
        <w:keepNext w:val="0"/>
        <w:keepLines w:val="0"/>
        <w:widowControl/>
        <w:numPr>
          <w:ilvl w:val="0"/>
          <w:numId w:val="5"/>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螺纹完全成型，并按照客户提供的图纸切割为指定的尺寸和类型。</w:t>
      </w:r>
    </w:p>
    <w:p>
      <w:pPr>
        <w:keepNext w:val="0"/>
        <w:keepLines w:val="0"/>
        <w:widowControl/>
        <w:numPr>
          <w:ilvl w:val="0"/>
          <w:numId w:val="5"/>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螺纹无缺陷，无损伤或污染。</w:t>
      </w:r>
    </w:p>
    <w:p>
      <w:pPr>
        <w:pStyle w:val="4"/>
        <w:keepNext w:val="0"/>
        <w:keepLines w:val="0"/>
        <w:widowControl/>
        <w:suppressLineNumbers w:val="0"/>
        <w:spacing w:before="0" w:beforeAutospacing="0"/>
        <w:ind w:left="-180" w:right="-180"/>
        <w:rPr>
          <w:rFonts w:hint="default" w:ascii="siyuan" w:hAnsi="siyuan" w:eastAsia="siyuan" w:cs="siyuan"/>
        </w:rPr>
      </w:pPr>
      <w:r>
        <w:rPr>
          <w:rFonts w:hint="default" w:ascii="siyuan" w:hAnsi="siyuan" w:eastAsia="siyuan" w:cs="siyuan"/>
          <w:bdr w:val="none" w:color="auto" w:sz="0" w:space="0"/>
        </w:rPr>
        <w:t>电镀表面</w:t>
      </w:r>
    </w:p>
    <w:p>
      <w:pPr>
        <w:keepNext w:val="0"/>
        <w:keepLines w:val="0"/>
        <w:widowControl/>
        <w:numPr>
          <w:ilvl w:val="0"/>
          <w:numId w:val="6"/>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电镀表面均匀圆滑，包括工件主件及已装配的组件</w:t>
      </w:r>
    </w:p>
    <w:p>
      <w:pPr>
        <w:keepNext w:val="0"/>
        <w:keepLines w:val="0"/>
        <w:widowControl/>
        <w:numPr>
          <w:ilvl w:val="0"/>
          <w:numId w:val="6"/>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表面无刀痕、划痕、凹陷、凸起或裸露金属残留。</w:t>
      </w:r>
    </w:p>
    <w:p>
      <w:pPr>
        <w:keepNext w:val="0"/>
        <w:keepLines w:val="0"/>
        <w:widowControl/>
        <w:numPr>
          <w:ilvl w:val="0"/>
          <w:numId w:val="6"/>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在某些情况下，假如存在一些轻微缺陷，只要不影响工件表面的保护性将不作为质量问题。</w:t>
      </w:r>
    </w:p>
    <w:p>
      <w:pPr>
        <w:pStyle w:val="4"/>
        <w:keepNext w:val="0"/>
        <w:keepLines w:val="0"/>
        <w:widowControl/>
        <w:suppressLineNumbers w:val="0"/>
        <w:spacing w:before="0" w:beforeAutospacing="0"/>
        <w:ind w:left="-180" w:right="-180"/>
        <w:rPr>
          <w:rFonts w:hint="default" w:ascii="siyuan" w:hAnsi="siyuan" w:eastAsia="siyuan" w:cs="siyuan"/>
        </w:rPr>
      </w:pPr>
      <w:r>
        <w:rPr>
          <w:rFonts w:hint="default" w:ascii="siyuan" w:hAnsi="siyuan" w:eastAsia="siyuan" w:cs="siyuan"/>
          <w:bdr w:val="none" w:color="auto" w:sz="0" w:space="0"/>
        </w:rPr>
        <w:t>焊点</w:t>
      </w:r>
    </w:p>
    <w:p>
      <w:pPr>
        <w:keepNext w:val="0"/>
        <w:keepLines w:val="0"/>
        <w:widowControl/>
        <w:numPr>
          <w:ilvl w:val="0"/>
          <w:numId w:val="7"/>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我们将依据客户提供的零件图纸的要求进行所有连接点焊接。</w:t>
      </w:r>
    </w:p>
    <w:p>
      <w:pPr>
        <w:keepNext w:val="0"/>
        <w:keepLines w:val="0"/>
        <w:widowControl/>
        <w:numPr>
          <w:ilvl w:val="0"/>
          <w:numId w:val="7"/>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假如没有额外的要求，我们会清洁所有焊点，清除焊渣及其他表面污染。</w:t>
      </w:r>
    </w:p>
    <w:p>
      <w:pPr>
        <w:keepNext w:val="0"/>
        <w:keepLines w:val="0"/>
        <w:widowControl/>
        <w:numPr>
          <w:ilvl w:val="0"/>
          <w:numId w:val="7"/>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只有在焊接全部完成、且焊缝通过质检后，我们才会在焊点上漆。</w:t>
      </w:r>
    </w:p>
    <w:p>
      <w:pPr>
        <w:pStyle w:val="4"/>
        <w:keepNext w:val="0"/>
        <w:keepLines w:val="0"/>
        <w:widowControl/>
        <w:suppressLineNumbers w:val="0"/>
        <w:spacing w:before="0" w:beforeAutospacing="0"/>
        <w:ind w:left="-180" w:right="-180"/>
        <w:rPr>
          <w:rFonts w:hint="default" w:ascii="siyuan" w:hAnsi="siyuan" w:eastAsia="siyuan" w:cs="siyuan"/>
        </w:rPr>
      </w:pPr>
      <w:r>
        <w:rPr>
          <w:rFonts w:hint="default" w:ascii="siyuan" w:hAnsi="siyuan" w:eastAsia="siyuan" w:cs="siyuan"/>
          <w:bdr w:val="none" w:color="auto" w:sz="0" w:space="0"/>
        </w:rPr>
        <w:t>沉孔</w:t>
      </w:r>
    </w:p>
    <w:p>
      <w:pPr>
        <w:keepNext w:val="0"/>
        <w:keepLines w:val="0"/>
        <w:widowControl/>
        <w:numPr>
          <w:ilvl w:val="0"/>
          <w:numId w:val="8"/>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我们将按照技术规格书制作圆形沉头，并接受对应的螺纹适配设计以匹配螺钉。</w:t>
      </w:r>
    </w:p>
    <w:p>
      <w:pPr>
        <w:keepNext w:val="0"/>
        <w:keepLines w:val="0"/>
        <w:widowControl/>
        <w:numPr>
          <w:ilvl w:val="0"/>
          <w:numId w:val="8"/>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沉孔无毛刺、振颤或其他工装缺陷。</w:t>
      </w:r>
    </w:p>
    <w:p>
      <w:pPr>
        <w:pStyle w:val="4"/>
        <w:keepNext w:val="0"/>
        <w:keepLines w:val="0"/>
        <w:widowControl/>
        <w:suppressLineNumbers w:val="0"/>
        <w:spacing w:before="0" w:beforeAutospacing="0"/>
        <w:ind w:left="-180" w:right="-180"/>
        <w:rPr>
          <w:rFonts w:hint="default" w:ascii="siyuan" w:hAnsi="siyuan" w:eastAsia="siyuan" w:cs="siyuan"/>
        </w:rPr>
      </w:pPr>
      <w:r>
        <w:rPr>
          <w:rFonts w:hint="default" w:ascii="siyuan" w:hAnsi="siyuan" w:eastAsia="siyuan" w:cs="siyuan"/>
          <w:bdr w:val="none" w:color="auto" w:sz="0" w:space="0"/>
        </w:rPr>
        <w:t>涂装表面</w:t>
      </w:r>
    </w:p>
    <w:p>
      <w:pPr>
        <w:keepNext w:val="0"/>
        <w:keepLines w:val="0"/>
        <w:widowControl/>
        <w:numPr>
          <w:ilvl w:val="0"/>
          <w:numId w:val="9"/>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加工后的涂装面需要平滑连续、无色差。</w:t>
      </w:r>
    </w:p>
    <w:p>
      <w:pPr>
        <w:keepNext w:val="0"/>
        <w:keepLines w:val="0"/>
        <w:widowControl/>
        <w:numPr>
          <w:ilvl w:val="0"/>
          <w:numId w:val="9"/>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涂装面无可见工装痕迹、划痕、磨损、灰尘颗粒、鱼眼、桔皮或者裸露金属。</w:t>
      </w:r>
    </w:p>
    <w:p>
      <w:pPr>
        <w:keepNext w:val="0"/>
        <w:keepLines w:val="0"/>
        <w:widowControl/>
        <w:numPr>
          <w:ilvl w:val="0"/>
          <w:numId w:val="9"/>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涂装表面质检应在1倍放大镜、18英寸的距离内对照本标准进行检查。</w:t>
      </w:r>
    </w:p>
    <w:p>
      <w:pPr>
        <w:pStyle w:val="3"/>
        <w:keepNext w:val="0"/>
        <w:keepLines w:val="0"/>
        <w:widowControl/>
        <w:suppressLineNumbers w:val="0"/>
        <w:spacing w:before="0" w:beforeAutospacing="0"/>
        <w:ind w:left="-180" w:right="-180"/>
        <w:rPr>
          <w:rFonts w:hint="default" w:ascii="siyuan" w:hAnsi="siyuan" w:eastAsia="siyuan" w:cs="siyuan"/>
        </w:rPr>
      </w:pPr>
      <w:r>
        <w:rPr>
          <w:rFonts w:hint="default" w:ascii="siyuan" w:hAnsi="siyuan" w:eastAsia="siyuan" w:cs="siyuan"/>
          <w:bdr w:val="none" w:color="auto" w:sz="0" w:space="0"/>
        </w:rPr>
        <w:t>CNC 加工及车削</w:t>
      </w:r>
    </w:p>
    <w:p>
      <w:pPr>
        <w:keepNext w:val="0"/>
        <w:keepLines w:val="0"/>
        <w:widowControl/>
        <w:numPr>
          <w:ilvl w:val="0"/>
          <w:numId w:val="10"/>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对于尺寸（长、宽、高、直径）和位置（位置、同心度、对称性）（金属类 +/- 0.005″或塑料和复合材料+/- 0.010”）的各项特征，我们将遵循ISO 2768 标准进行加工，除非另有约定。</w:t>
      </w:r>
    </w:p>
    <w:p>
      <w:pPr>
        <w:keepNext w:val="0"/>
        <w:keepLines w:val="0"/>
        <w:widowControl/>
        <w:numPr>
          <w:ilvl w:val="0"/>
          <w:numId w:val="10"/>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完工件表面光洁度需要达到 125 Ra或以上，工装刀具可能会有漩涡状图案残留。</w:t>
      </w:r>
    </w:p>
    <w:p>
      <w:pPr>
        <w:keepNext w:val="0"/>
        <w:keepLines w:val="0"/>
        <w:widowControl/>
        <w:numPr>
          <w:ilvl w:val="0"/>
          <w:numId w:val="10"/>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我们默认会做去披锋和去毛刺处理，如果工件的某些边缘需要保持锋利，请务必在书面材料中作出说明和备注。</w:t>
      </w:r>
    </w:p>
    <w:p>
      <w:pPr>
        <w:keepNext w:val="0"/>
        <w:keepLines w:val="0"/>
        <w:widowControl/>
        <w:numPr>
          <w:ilvl w:val="0"/>
          <w:numId w:val="10"/>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无色或透明的塑料加工后为哑光状态，可能在加工面上有半透明漩涡状加工痕迹。喷砂工艺可在透明塑料工件的表面形成磨砂效果。</w:t>
      </w:r>
    </w:p>
    <w:p>
      <w:pPr>
        <w:keepNext w:val="0"/>
        <w:keepLines w:val="0"/>
        <w:widowControl/>
        <w:numPr>
          <w:ilvl w:val="0"/>
          <w:numId w:val="10"/>
        </w:numPr>
        <w:suppressLineNumbers w:val="0"/>
        <w:spacing w:before="0" w:beforeAutospacing="1" w:after="0" w:afterAutospacing="1"/>
        <w:ind w:left="540" w:right="-180" w:hanging="360"/>
        <w:rPr>
          <w:rFonts w:hint="default" w:ascii="siyuan" w:hAnsi="siyuan" w:eastAsia="siyuan" w:cs="siyuan"/>
        </w:rPr>
      </w:pPr>
      <w:r>
        <w:rPr>
          <w:rFonts w:hint="default" w:ascii="siyuan" w:hAnsi="siyuan" w:eastAsia="siyuan" w:cs="siyuan"/>
          <w:bdr w:val="none" w:color="auto" w:sz="0" w:space="0"/>
        </w:rPr>
        <w:t>除非在报价中额外确认，否则我们将执行下表所述的方向和形状相关公差标准。这些特征包括平行度、垂直度、圆柱、平面、圆度和直线。</w:t>
      </w:r>
    </w:p>
    <w:p>
      <w:pPr>
        <w:keepNext w:val="0"/>
        <w:keepLines w:val="0"/>
        <w:widowControl/>
        <w:suppressLineNumbers w:val="0"/>
        <w:pBdr>
          <w:left w:val="none" w:color="auto" w:sz="0" w:space="0"/>
          <w:right w:val="none" w:color="auto" w:sz="0" w:space="0"/>
        </w:pBdr>
        <w:ind w:left="-180" w:right="-180"/>
        <w:jc w:val="left"/>
        <w:rPr>
          <w:rFonts w:hint="default" w:ascii="siyuan" w:hAnsi="siyuan" w:eastAsia="siyuan" w:cs="siyuan"/>
        </w:rPr>
      </w:pPr>
      <w:r>
        <w:rPr>
          <w:rFonts w:hint="default" w:ascii="siyuan" w:hAnsi="siyuan" w:eastAsia="siyuan" w:cs="siyuan"/>
          <w:kern w:val="0"/>
          <w:sz w:val="24"/>
          <w:szCs w:val="24"/>
          <w:bdr w:val="none" w:color="auto" w:sz="0" w:space="0"/>
          <w:lang w:val="en-US" w:eastAsia="zh-CN" w:bidi="ar"/>
        </w:rPr>
        <w:drawing>
          <wp:inline distT="0" distB="0" distL="114300" distR="114300">
            <wp:extent cx="1219200" cy="12192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1219200" cy="1219200"/>
                    </a:xfrm>
                    <a:prstGeom prst="rect">
                      <a:avLst/>
                    </a:prstGeom>
                    <a:noFill/>
                  </pic:spPr>
                </pic:pic>
              </a:graphicData>
            </a:graphic>
          </wp:inline>
        </w:drawing>
      </w:r>
    </w:p>
    <w:p>
      <w:pPr>
        <w:pStyle w:val="3"/>
        <w:keepNext w:val="0"/>
        <w:keepLines w:val="0"/>
        <w:widowControl/>
        <w:suppressLineNumbers w:val="0"/>
        <w:spacing w:before="0" w:beforeAutospacing="0"/>
        <w:ind w:left="-180" w:right="-180"/>
        <w:rPr>
          <w:rFonts w:hint="default" w:ascii="siyuan" w:hAnsi="siyuan" w:eastAsia="siyuan" w:cs="siyuan"/>
        </w:rPr>
      </w:pPr>
      <w:r>
        <w:rPr>
          <w:rFonts w:hint="default" w:ascii="siyuan" w:hAnsi="siyuan" w:eastAsia="siyuan" w:cs="siyuan"/>
          <w:bdr w:val="none" w:color="auto" w:sz="0" w:space="0"/>
        </w:rPr>
        <w:t>CNC方向及形状基本公差表</w:t>
      </w:r>
    </w:p>
    <w:p>
      <w:pPr>
        <w:pStyle w:val="5"/>
        <w:keepNext w:val="0"/>
        <w:keepLines w:val="0"/>
        <w:widowControl/>
        <w:suppressLineNumbers w:val="0"/>
        <w:spacing w:before="0" w:beforeAutospacing="0" w:after="120" w:afterAutospacing="0" w:line="288" w:lineRule="atLeast"/>
        <w:ind w:left="-180" w:right="-180"/>
        <w:rPr>
          <w:rFonts w:hint="default" w:ascii="siyuan" w:hAnsi="siyuan" w:eastAsia="siyuan" w:cs="siyuan"/>
          <w:sz w:val="19"/>
          <w:szCs w:val="19"/>
        </w:rPr>
      </w:pPr>
      <w:r>
        <w:rPr>
          <w:rFonts w:hint="default" w:ascii="siyuan" w:hAnsi="siyuan" w:eastAsia="siyuan" w:cs="siyuan"/>
          <w:sz w:val="19"/>
          <w:szCs w:val="19"/>
          <w:bdr w:val="none" w:color="auto" w:sz="0" w:space="0"/>
        </w:rPr>
        <w:t>表1：不同尺寸工件的公差控制表</w:t>
      </w:r>
    </w:p>
    <w:tbl>
      <w:tblPr>
        <w:tblW w:w="15240"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20"/>
        <w:gridCol w:w="2715"/>
        <w:gridCol w:w="8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keepNext w:val="0"/>
              <w:keepLines w:val="0"/>
              <w:widowControl/>
              <w:suppressLineNumbers w:val="0"/>
              <w:spacing w:line="240" w:lineRule="atLeast"/>
              <w:jc w:val="left"/>
              <w:rPr>
                <w:rFonts w:hint="default" w:ascii="siyuan" w:hAnsi="siyuan" w:eastAsia="siyuan" w:cs="siyuan"/>
                <w:sz w:val="16"/>
                <w:szCs w:val="16"/>
              </w:rPr>
            </w:pPr>
            <w:r>
              <w:rPr>
                <w:rFonts w:hint="default" w:ascii="siyuan" w:hAnsi="siyuan" w:eastAsia="siyuan" w:cs="siyuan"/>
                <w:b/>
                <w:bCs/>
                <w:kern w:val="0"/>
                <w:sz w:val="16"/>
                <w:szCs w:val="16"/>
                <w:bdr w:val="none" w:color="auto" w:sz="0" w:space="0"/>
                <w:lang w:val="en-US" w:eastAsia="zh-CN" w:bidi="ar"/>
              </w:rPr>
              <w:t>工件长度</w:t>
            </w:r>
          </w:p>
        </w:tc>
        <w:tc>
          <w:tcPr>
            <w:tcW w:w="2715"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keepNext w:val="0"/>
              <w:keepLines w:val="0"/>
              <w:widowControl/>
              <w:suppressLineNumbers w:val="0"/>
              <w:spacing w:line="240" w:lineRule="atLeast"/>
              <w:jc w:val="left"/>
              <w:rPr>
                <w:rFonts w:hint="default" w:ascii="siyuan" w:hAnsi="siyuan" w:eastAsia="siyuan" w:cs="siyuan"/>
                <w:sz w:val="16"/>
                <w:szCs w:val="16"/>
              </w:rPr>
            </w:pPr>
            <w:r>
              <w:rPr>
                <w:rFonts w:hint="default" w:ascii="siyuan" w:hAnsi="siyuan" w:eastAsia="siyuan" w:cs="siyuan"/>
                <w:kern w:val="0"/>
                <w:sz w:val="16"/>
                <w:szCs w:val="16"/>
                <w:bdr w:val="none" w:color="auto" w:sz="0" w:space="0"/>
                <w:lang w:val="en-US" w:eastAsia="zh-CN" w:bidi="ar"/>
              </w:rPr>
              <w:t>方向及形状公差</w:t>
            </w:r>
          </w:p>
        </w:tc>
        <w:tc>
          <w:tcPr>
            <w:tcW w:w="8905"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keepNext w:val="0"/>
              <w:keepLines w:val="0"/>
              <w:widowControl/>
              <w:suppressLineNumbers w:val="0"/>
              <w:spacing w:line="240" w:lineRule="atLeast"/>
              <w:jc w:val="left"/>
              <w:rPr>
                <w:rFonts w:hint="default" w:ascii="siyuan" w:hAnsi="siyuan" w:eastAsia="siyuan" w:cs="siyuan"/>
                <w:sz w:val="16"/>
                <w:szCs w:val="16"/>
              </w:rPr>
            </w:pPr>
            <w:r>
              <w:rPr>
                <w:rFonts w:hint="default" w:ascii="siyuan" w:hAnsi="siyuan" w:eastAsia="siyuan" w:cs="siyuan"/>
                <w:kern w:val="0"/>
                <w:sz w:val="16"/>
                <w:szCs w:val="16"/>
                <w:bdr w:val="none" w:color="auto" w:sz="0" w:space="0"/>
                <w:lang w:val="en-US" w:eastAsia="zh-CN" w:bidi="ar"/>
              </w:rPr>
              <w:t>倾斜度公差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keepNext w:val="0"/>
              <w:keepLines w:val="0"/>
              <w:widowControl/>
              <w:suppressLineNumbers w:val="0"/>
              <w:spacing w:line="240" w:lineRule="atLeast"/>
              <w:jc w:val="left"/>
              <w:rPr>
                <w:rFonts w:hint="eastAsia" w:ascii="楷体" w:hAnsi="楷体" w:eastAsia="楷体" w:cs="楷体"/>
                <w:color w:val="auto"/>
                <w:sz w:val="16"/>
                <w:szCs w:val="16"/>
              </w:rPr>
            </w:pPr>
            <w:r>
              <w:rPr>
                <w:rFonts w:hint="eastAsia" w:ascii="楷体" w:hAnsi="楷体" w:eastAsia="楷体" w:cs="楷体"/>
                <w:color w:val="auto"/>
                <w:kern w:val="0"/>
                <w:sz w:val="16"/>
                <w:szCs w:val="16"/>
                <w:bdr w:val="none" w:color="auto" w:sz="0" w:space="0"/>
                <w:lang w:val="en-US" w:eastAsia="zh-CN" w:bidi="ar"/>
              </w:rPr>
              <w:t>0 to 12″</w:t>
            </w:r>
          </w:p>
        </w:tc>
        <w:tc>
          <w:tcPr>
            <w:tcW w:w="2715" w:type="dxa"/>
            <w:tcBorders>
              <w:top w:val="single" w:color="CCCCCC" w:sz="4" w:space="0"/>
              <w:left w:val="single" w:color="CCCCCC" w:sz="4" w:space="0"/>
              <w:bottom w:val="single" w:color="CCCCCC" w:sz="4" w:space="0"/>
              <w:right w:val="single" w:color="CCCCCC" w:sz="4" w:space="0"/>
            </w:tcBorders>
            <w:shd w:val="clear" w:color="auto" w:fill="F5F7F8"/>
            <w:tcMar>
              <w:top w:w="120" w:type="dxa"/>
              <w:left w:w="120" w:type="dxa"/>
              <w:bottom w:w="120" w:type="dxa"/>
              <w:right w:w="120" w:type="dxa"/>
            </w:tcMar>
            <w:vAlign w:val="center"/>
          </w:tcPr>
          <w:p>
            <w:pPr>
              <w:keepNext w:val="0"/>
              <w:keepLines w:val="0"/>
              <w:widowControl/>
              <w:suppressLineNumbers w:val="0"/>
              <w:spacing w:line="240" w:lineRule="atLeast"/>
              <w:jc w:val="left"/>
              <w:rPr>
                <w:rFonts w:hint="eastAsia" w:ascii="楷体" w:hAnsi="楷体" w:eastAsia="楷体" w:cs="楷体"/>
                <w:color w:val="auto"/>
                <w:sz w:val="16"/>
                <w:szCs w:val="16"/>
              </w:rPr>
            </w:pPr>
            <w:r>
              <w:rPr>
                <w:rFonts w:hint="eastAsia" w:ascii="楷体" w:hAnsi="楷体" w:eastAsia="楷体" w:cs="楷体"/>
                <w:color w:val="auto"/>
                <w:kern w:val="0"/>
                <w:sz w:val="16"/>
                <w:szCs w:val="16"/>
                <w:bdr w:val="none" w:color="auto" w:sz="0" w:space="0"/>
                <w:lang w:val="en-US" w:eastAsia="zh-CN" w:bidi="ar"/>
              </w:rPr>
              <w:t>+/- 0.005″</w:t>
            </w:r>
          </w:p>
        </w:tc>
        <w:tc>
          <w:tcPr>
            <w:tcW w:w="8905"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keepNext w:val="0"/>
              <w:keepLines w:val="0"/>
              <w:widowControl/>
              <w:suppressLineNumbers w:val="0"/>
              <w:spacing w:line="240" w:lineRule="atLeast"/>
              <w:jc w:val="left"/>
              <w:rPr>
                <w:rFonts w:hint="eastAsia" w:ascii="楷体" w:hAnsi="楷体" w:eastAsia="楷体" w:cs="楷体"/>
                <w:color w:val="auto"/>
                <w:sz w:val="16"/>
                <w:szCs w:val="16"/>
              </w:rPr>
            </w:pPr>
            <w:r>
              <w:rPr>
                <w:rFonts w:hint="eastAsia" w:ascii="楷体" w:hAnsi="楷体" w:eastAsia="楷体" w:cs="楷体"/>
                <w:color w:val="auto"/>
                <w:kern w:val="0"/>
                <w:sz w:val="16"/>
                <w:szCs w:val="16"/>
                <w:bdr w:val="none" w:color="auto" w:sz="0" w:space="0"/>
                <w:lang w:val="en-US" w:eastAsia="zh-CN" w:bidi="ar"/>
              </w:rPr>
              <w:t>Angularity +/- ½ 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keepNext w:val="0"/>
              <w:keepLines w:val="0"/>
              <w:widowControl/>
              <w:suppressLineNumbers w:val="0"/>
              <w:spacing w:line="240" w:lineRule="atLeast"/>
              <w:jc w:val="left"/>
              <w:rPr>
                <w:rFonts w:hint="eastAsia" w:ascii="楷体" w:hAnsi="楷体" w:eastAsia="楷体" w:cs="楷体"/>
                <w:color w:val="auto"/>
                <w:sz w:val="16"/>
                <w:szCs w:val="16"/>
              </w:rPr>
            </w:pPr>
            <w:r>
              <w:rPr>
                <w:rFonts w:hint="eastAsia" w:ascii="楷体" w:hAnsi="楷体" w:eastAsia="楷体" w:cs="楷体"/>
                <w:color w:val="auto"/>
                <w:kern w:val="0"/>
                <w:sz w:val="16"/>
                <w:szCs w:val="16"/>
                <w:bdr w:val="none" w:color="auto" w:sz="0" w:space="0"/>
                <w:lang w:val="en-US" w:eastAsia="zh-CN" w:bidi="ar"/>
              </w:rPr>
              <w:t>12″ to 24″</w:t>
            </w:r>
          </w:p>
        </w:tc>
        <w:tc>
          <w:tcPr>
            <w:tcW w:w="2715" w:type="dxa"/>
            <w:tcBorders>
              <w:top w:val="single" w:color="CCCCCC" w:sz="4" w:space="0"/>
              <w:left w:val="single" w:color="CCCCCC" w:sz="4" w:space="0"/>
              <w:bottom w:val="single" w:color="CCCCCC" w:sz="4" w:space="0"/>
              <w:right w:val="single" w:color="CCCCCC" w:sz="4" w:space="0"/>
            </w:tcBorders>
            <w:shd w:val="clear" w:color="auto" w:fill="F5F7F8"/>
            <w:tcMar>
              <w:top w:w="120" w:type="dxa"/>
              <w:left w:w="120" w:type="dxa"/>
              <w:bottom w:w="120" w:type="dxa"/>
              <w:right w:w="120" w:type="dxa"/>
            </w:tcMar>
            <w:vAlign w:val="center"/>
          </w:tcPr>
          <w:p>
            <w:pPr>
              <w:keepNext w:val="0"/>
              <w:keepLines w:val="0"/>
              <w:widowControl/>
              <w:suppressLineNumbers w:val="0"/>
              <w:spacing w:line="240" w:lineRule="atLeast"/>
              <w:jc w:val="left"/>
              <w:rPr>
                <w:rFonts w:hint="eastAsia" w:ascii="楷体" w:hAnsi="楷体" w:eastAsia="楷体" w:cs="楷体"/>
                <w:color w:val="auto"/>
                <w:sz w:val="16"/>
                <w:szCs w:val="16"/>
              </w:rPr>
            </w:pPr>
            <w:r>
              <w:rPr>
                <w:rFonts w:hint="eastAsia" w:ascii="楷体" w:hAnsi="楷体" w:eastAsia="楷体" w:cs="楷体"/>
                <w:color w:val="auto"/>
                <w:kern w:val="0"/>
                <w:sz w:val="16"/>
                <w:szCs w:val="16"/>
                <w:bdr w:val="none" w:color="auto" w:sz="0" w:space="0"/>
                <w:lang w:val="en-US" w:eastAsia="zh-CN" w:bidi="ar"/>
              </w:rPr>
              <w:t>+/- 0.010″</w:t>
            </w:r>
          </w:p>
        </w:tc>
        <w:tc>
          <w:tcPr>
            <w:tcW w:w="8905"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keepNext w:val="0"/>
              <w:keepLines w:val="0"/>
              <w:widowControl/>
              <w:suppressLineNumbers w:val="0"/>
              <w:spacing w:line="240" w:lineRule="atLeast"/>
              <w:jc w:val="left"/>
              <w:rPr>
                <w:rFonts w:hint="eastAsia" w:ascii="楷体" w:hAnsi="楷体" w:eastAsia="楷体" w:cs="楷体"/>
                <w:color w:val="auto"/>
                <w:sz w:val="16"/>
                <w:szCs w:val="16"/>
              </w:rPr>
            </w:pPr>
            <w:r>
              <w:rPr>
                <w:rFonts w:hint="eastAsia" w:ascii="楷体" w:hAnsi="楷体" w:eastAsia="楷体" w:cs="楷体"/>
                <w:color w:val="auto"/>
                <w:kern w:val="0"/>
                <w:sz w:val="16"/>
                <w:szCs w:val="16"/>
                <w:bdr w:val="none" w:color="auto" w:sz="0" w:space="0"/>
                <w:lang w:val="en-US" w:eastAsia="zh-CN" w:bidi="ar"/>
              </w:rPr>
              <w:t>Angularity +/- ½ 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keepNext w:val="0"/>
              <w:keepLines w:val="0"/>
              <w:widowControl/>
              <w:suppressLineNumbers w:val="0"/>
              <w:spacing w:line="240" w:lineRule="atLeast"/>
              <w:jc w:val="left"/>
              <w:rPr>
                <w:rFonts w:hint="eastAsia" w:ascii="楷体" w:hAnsi="楷体" w:eastAsia="楷体" w:cs="楷体"/>
                <w:color w:val="auto"/>
                <w:sz w:val="16"/>
                <w:szCs w:val="16"/>
              </w:rPr>
            </w:pPr>
            <w:r>
              <w:rPr>
                <w:rFonts w:hint="eastAsia" w:ascii="楷体" w:hAnsi="楷体" w:eastAsia="楷体" w:cs="楷体"/>
                <w:color w:val="auto"/>
                <w:kern w:val="0"/>
                <w:sz w:val="16"/>
                <w:szCs w:val="16"/>
                <w:bdr w:val="none" w:color="auto" w:sz="0" w:space="0"/>
                <w:lang w:val="en-US" w:eastAsia="zh-CN" w:bidi="ar"/>
              </w:rPr>
              <w:t>24″ – 36″</w:t>
            </w:r>
          </w:p>
        </w:tc>
        <w:tc>
          <w:tcPr>
            <w:tcW w:w="2715" w:type="dxa"/>
            <w:tcBorders>
              <w:top w:val="single" w:color="CCCCCC" w:sz="4" w:space="0"/>
              <w:left w:val="single" w:color="CCCCCC" w:sz="4" w:space="0"/>
              <w:bottom w:val="single" w:color="CCCCCC" w:sz="4" w:space="0"/>
              <w:right w:val="single" w:color="CCCCCC" w:sz="4" w:space="0"/>
            </w:tcBorders>
            <w:shd w:val="clear" w:color="auto" w:fill="F5F7F8"/>
            <w:tcMar>
              <w:top w:w="120" w:type="dxa"/>
              <w:left w:w="120" w:type="dxa"/>
              <w:bottom w:w="120" w:type="dxa"/>
              <w:right w:w="120" w:type="dxa"/>
            </w:tcMar>
            <w:vAlign w:val="center"/>
          </w:tcPr>
          <w:p>
            <w:pPr>
              <w:keepNext w:val="0"/>
              <w:keepLines w:val="0"/>
              <w:widowControl/>
              <w:suppressLineNumbers w:val="0"/>
              <w:spacing w:line="240" w:lineRule="atLeast"/>
              <w:jc w:val="left"/>
              <w:rPr>
                <w:rFonts w:hint="eastAsia" w:ascii="楷体" w:hAnsi="楷体" w:eastAsia="楷体" w:cs="楷体"/>
                <w:color w:val="auto"/>
                <w:sz w:val="16"/>
                <w:szCs w:val="16"/>
              </w:rPr>
            </w:pPr>
            <w:r>
              <w:rPr>
                <w:rFonts w:hint="eastAsia" w:ascii="楷体" w:hAnsi="楷体" w:eastAsia="楷体" w:cs="楷体"/>
                <w:color w:val="auto"/>
                <w:kern w:val="0"/>
                <w:sz w:val="16"/>
                <w:szCs w:val="16"/>
                <w:bdr w:val="none" w:color="auto" w:sz="0" w:space="0"/>
                <w:lang w:val="en-US" w:eastAsia="zh-CN" w:bidi="ar"/>
              </w:rPr>
              <w:t>+/- 1/64″ (0.016″)</w:t>
            </w:r>
          </w:p>
        </w:tc>
        <w:tc>
          <w:tcPr>
            <w:tcW w:w="8905"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keepNext w:val="0"/>
              <w:keepLines w:val="0"/>
              <w:widowControl/>
              <w:suppressLineNumbers w:val="0"/>
              <w:spacing w:line="240" w:lineRule="atLeast"/>
              <w:jc w:val="left"/>
              <w:rPr>
                <w:rFonts w:hint="eastAsia" w:ascii="楷体" w:hAnsi="楷体" w:eastAsia="楷体" w:cs="楷体"/>
                <w:color w:val="auto"/>
                <w:sz w:val="16"/>
                <w:szCs w:val="16"/>
              </w:rPr>
            </w:pPr>
            <w:r>
              <w:rPr>
                <w:rFonts w:hint="eastAsia" w:ascii="楷体" w:hAnsi="楷体" w:eastAsia="楷体" w:cs="楷体"/>
                <w:color w:val="auto"/>
                <w:kern w:val="0"/>
                <w:sz w:val="16"/>
                <w:szCs w:val="16"/>
                <w:bdr w:val="none" w:color="auto" w:sz="0" w:space="0"/>
                <w:lang w:val="en-US" w:eastAsia="zh-CN" w:bidi="ar"/>
              </w:rPr>
              <w:t>Angularity +/- 1 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keepNext w:val="0"/>
              <w:keepLines w:val="0"/>
              <w:widowControl/>
              <w:suppressLineNumbers w:val="0"/>
              <w:spacing w:line="240" w:lineRule="atLeast"/>
              <w:jc w:val="left"/>
              <w:rPr>
                <w:rFonts w:hint="eastAsia" w:ascii="楷体" w:hAnsi="楷体" w:eastAsia="楷体" w:cs="楷体"/>
                <w:color w:val="auto"/>
                <w:sz w:val="16"/>
                <w:szCs w:val="16"/>
              </w:rPr>
            </w:pPr>
            <w:r>
              <w:rPr>
                <w:rFonts w:hint="eastAsia" w:ascii="楷体" w:hAnsi="楷体" w:eastAsia="楷体" w:cs="楷体"/>
                <w:color w:val="auto"/>
                <w:kern w:val="0"/>
                <w:sz w:val="16"/>
                <w:szCs w:val="16"/>
                <w:bdr w:val="none" w:color="auto" w:sz="0" w:space="0"/>
                <w:lang w:val="en-US" w:eastAsia="zh-CN" w:bidi="ar"/>
              </w:rPr>
              <w:t>36″ – 60″</w:t>
            </w:r>
          </w:p>
        </w:tc>
        <w:tc>
          <w:tcPr>
            <w:tcW w:w="2715" w:type="dxa"/>
            <w:tcBorders>
              <w:top w:val="single" w:color="CCCCCC" w:sz="4" w:space="0"/>
              <w:left w:val="single" w:color="CCCCCC" w:sz="4" w:space="0"/>
              <w:bottom w:val="single" w:color="CCCCCC" w:sz="4" w:space="0"/>
              <w:right w:val="single" w:color="CCCCCC" w:sz="4" w:space="0"/>
            </w:tcBorders>
            <w:shd w:val="clear" w:color="auto" w:fill="F5F7F8"/>
            <w:tcMar>
              <w:top w:w="120" w:type="dxa"/>
              <w:left w:w="120" w:type="dxa"/>
              <w:bottom w:w="120" w:type="dxa"/>
              <w:right w:w="120" w:type="dxa"/>
            </w:tcMar>
            <w:vAlign w:val="center"/>
          </w:tcPr>
          <w:p>
            <w:pPr>
              <w:keepNext w:val="0"/>
              <w:keepLines w:val="0"/>
              <w:widowControl/>
              <w:suppressLineNumbers w:val="0"/>
              <w:spacing w:line="240" w:lineRule="atLeast"/>
              <w:jc w:val="left"/>
              <w:rPr>
                <w:rFonts w:hint="eastAsia" w:ascii="楷体" w:hAnsi="楷体" w:eastAsia="楷体" w:cs="楷体"/>
                <w:color w:val="auto"/>
                <w:sz w:val="16"/>
                <w:szCs w:val="16"/>
              </w:rPr>
            </w:pPr>
            <w:r>
              <w:rPr>
                <w:rFonts w:hint="eastAsia" w:ascii="楷体" w:hAnsi="楷体" w:eastAsia="楷体" w:cs="楷体"/>
                <w:color w:val="auto"/>
                <w:kern w:val="0"/>
                <w:sz w:val="16"/>
                <w:szCs w:val="16"/>
                <w:bdr w:val="none" w:color="auto" w:sz="0" w:space="0"/>
                <w:lang w:val="en-US" w:eastAsia="zh-CN" w:bidi="ar"/>
              </w:rPr>
              <w:t>+/- 1/32″ (0.031″)</w:t>
            </w:r>
          </w:p>
        </w:tc>
        <w:tc>
          <w:tcPr>
            <w:tcW w:w="8905"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keepNext w:val="0"/>
              <w:keepLines w:val="0"/>
              <w:widowControl/>
              <w:suppressLineNumbers w:val="0"/>
              <w:spacing w:line="240" w:lineRule="atLeast"/>
              <w:jc w:val="left"/>
              <w:rPr>
                <w:rFonts w:hint="eastAsia" w:ascii="楷体" w:hAnsi="楷体" w:eastAsia="楷体" w:cs="楷体"/>
                <w:color w:val="auto"/>
                <w:sz w:val="16"/>
                <w:szCs w:val="16"/>
              </w:rPr>
            </w:pPr>
            <w:r>
              <w:rPr>
                <w:rFonts w:hint="eastAsia" w:ascii="楷体" w:hAnsi="楷体" w:eastAsia="楷体" w:cs="楷体"/>
                <w:color w:val="auto"/>
                <w:kern w:val="0"/>
                <w:sz w:val="16"/>
                <w:szCs w:val="16"/>
                <w:bdr w:val="none" w:color="auto" w:sz="0" w:space="0"/>
                <w:lang w:val="en-US" w:eastAsia="zh-CN" w:bidi="ar"/>
              </w:rPr>
              <w:t>Angularity +/- 1 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keepNext w:val="0"/>
              <w:keepLines w:val="0"/>
              <w:widowControl/>
              <w:suppressLineNumbers w:val="0"/>
              <w:spacing w:line="240" w:lineRule="atLeast"/>
              <w:jc w:val="left"/>
              <w:rPr>
                <w:rFonts w:hint="eastAsia" w:ascii="楷体" w:hAnsi="楷体" w:eastAsia="楷体" w:cs="楷体"/>
                <w:color w:val="auto"/>
                <w:sz w:val="16"/>
                <w:szCs w:val="16"/>
              </w:rPr>
            </w:pPr>
            <w:r>
              <w:rPr>
                <w:rFonts w:hint="eastAsia" w:ascii="楷体" w:hAnsi="楷体" w:eastAsia="楷体" w:cs="楷体"/>
                <w:color w:val="auto"/>
                <w:kern w:val="0"/>
                <w:sz w:val="16"/>
                <w:szCs w:val="16"/>
                <w:bdr w:val="none" w:color="auto" w:sz="0" w:space="0"/>
                <w:lang w:val="en-US" w:eastAsia="zh-CN" w:bidi="ar"/>
              </w:rPr>
              <w:t>大于 60″</w:t>
            </w:r>
          </w:p>
        </w:tc>
        <w:tc>
          <w:tcPr>
            <w:tcW w:w="2715" w:type="dxa"/>
            <w:tcBorders>
              <w:top w:val="single" w:color="CCCCCC" w:sz="4" w:space="0"/>
              <w:left w:val="single" w:color="CCCCCC" w:sz="4" w:space="0"/>
              <w:bottom w:val="single" w:color="CCCCCC" w:sz="4" w:space="0"/>
              <w:right w:val="single" w:color="CCCCCC" w:sz="4" w:space="0"/>
            </w:tcBorders>
            <w:shd w:val="clear" w:color="auto" w:fill="F5F7F8"/>
            <w:tcMar>
              <w:top w:w="120" w:type="dxa"/>
              <w:left w:w="120" w:type="dxa"/>
              <w:bottom w:w="120" w:type="dxa"/>
              <w:right w:w="120" w:type="dxa"/>
            </w:tcMar>
            <w:vAlign w:val="center"/>
          </w:tcPr>
          <w:p>
            <w:pPr>
              <w:keepNext w:val="0"/>
              <w:keepLines w:val="0"/>
              <w:widowControl/>
              <w:suppressLineNumbers w:val="0"/>
              <w:spacing w:line="240" w:lineRule="atLeast"/>
              <w:jc w:val="left"/>
              <w:rPr>
                <w:rFonts w:hint="eastAsia" w:ascii="楷体" w:hAnsi="楷体" w:eastAsia="楷体" w:cs="楷体"/>
                <w:color w:val="auto"/>
                <w:sz w:val="16"/>
                <w:szCs w:val="16"/>
              </w:rPr>
            </w:pPr>
            <w:r>
              <w:rPr>
                <w:rFonts w:hint="eastAsia" w:ascii="楷体" w:hAnsi="楷体" w:eastAsia="楷体" w:cs="楷体"/>
                <w:color w:val="auto"/>
                <w:kern w:val="0"/>
                <w:sz w:val="16"/>
                <w:szCs w:val="16"/>
                <w:bdr w:val="none" w:color="auto" w:sz="0" w:space="0"/>
                <w:lang w:val="en-US" w:eastAsia="zh-CN" w:bidi="ar"/>
              </w:rPr>
              <w:t>+/- 1/16″ (0.063″)</w:t>
            </w:r>
          </w:p>
        </w:tc>
        <w:tc>
          <w:tcPr>
            <w:tcW w:w="8905" w:type="dxa"/>
            <w:tcBorders>
              <w:top w:val="single" w:color="CCCCCC" w:sz="4" w:space="0"/>
              <w:left w:val="single" w:color="CCCCCC" w:sz="4" w:space="0"/>
              <w:bottom w:val="single" w:color="CCCCCC" w:sz="4" w:space="0"/>
              <w:right w:val="single" w:color="CCCCCC" w:sz="4" w:space="0"/>
            </w:tcBorders>
            <w:shd w:val="clear"/>
            <w:tcMar>
              <w:top w:w="120" w:type="dxa"/>
              <w:left w:w="120" w:type="dxa"/>
              <w:bottom w:w="120" w:type="dxa"/>
              <w:right w:w="120" w:type="dxa"/>
            </w:tcMar>
            <w:vAlign w:val="center"/>
          </w:tcPr>
          <w:p>
            <w:pPr>
              <w:keepNext w:val="0"/>
              <w:keepLines w:val="0"/>
              <w:widowControl/>
              <w:suppressLineNumbers w:val="0"/>
              <w:spacing w:line="240" w:lineRule="atLeast"/>
              <w:jc w:val="left"/>
              <w:rPr>
                <w:rFonts w:hint="eastAsia" w:ascii="楷体" w:hAnsi="楷体" w:eastAsia="楷体" w:cs="楷体"/>
                <w:color w:val="auto"/>
                <w:sz w:val="16"/>
                <w:szCs w:val="16"/>
              </w:rPr>
            </w:pPr>
            <w:r>
              <w:rPr>
                <w:rFonts w:hint="eastAsia" w:ascii="楷体" w:hAnsi="楷体" w:eastAsia="楷体" w:cs="楷体"/>
                <w:color w:val="auto"/>
                <w:kern w:val="0"/>
                <w:sz w:val="16"/>
                <w:szCs w:val="16"/>
                <w:bdr w:val="none" w:color="auto" w:sz="0" w:space="0"/>
                <w:lang w:val="en-US" w:eastAsia="zh-CN" w:bidi="ar"/>
              </w:rPr>
              <w:t>Angularity +/- 1 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iyuan">
    <w:altName w:val="ZWSimpleStroke"/>
    <w:panose1 w:val="00000000000000000000"/>
    <w:charset w:val="00"/>
    <w:family w:val="auto"/>
    <w:pitch w:val="default"/>
    <w:sig w:usb0="00000000" w:usb1="00000000" w:usb2="00000000" w:usb3="00000000" w:csb0="00000000" w:csb1="00000000"/>
  </w:font>
  <w:font w:name="ZWSimpleStroke">
    <w:panose1 w:val="02000500000000000000"/>
    <w:charset w:val="00"/>
    <w:family w:val="auto"/>
    <w:pitch w:val="default"/>
    <w:sig w:usb0="800000A7" w:usb1="5000004A" w:usb2="00000000" w:usb3="00000000" w:csb0="20000111" w:csb1="41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C2142"/>
    <w:multiLevelType w:val="multilevel"/>
    <w:tmpl w:val="918C214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D6B8A11"/>
    <w:multiLevelType w:val="multilevel"/>
    <w:tmpl w:val="9D6B8A1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9ED1460F"/>
    <w:multiLevelType w:val="multilevel"/>
    <w:tmpl w:val="9ED1460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B529F1D7"/>
    <w:multiLevelType w:val="multilevel"/>
    <w:tmpl w:val="B529F1D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BD9E2F8D"/>
    <w:multiLevelType w:val="multilevel"/>
    <w:tmpl w:val="BD9E2F8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C8A37D56"/>
    <w:multiLevelType w:val="multilevel"/>
    <w:tmpl w:val="C8A37D5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1E380954"/>
    <w:multiLevelType w:val="multilevel"/>
    <w:tmpl w:val="1E38095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261704F9"/>
    <w:multiLevelType w:val="multilevel"/>
    <w:tmpl w:val="261704F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2A368F35"/>
    <w:multiLevelType w:val="multilevel"/>
    <w:tmpl w:val="2A368F3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3AF90FBC"/>
    <w:multiLevelType w:val="multilevel"/>
    <w:tmpl w:val="3AF90FB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7"/>
  </w:num>
  <w:num w:numId="2">
    <w:abstractNumId w:val="0"/>
  </w:num>
  <w:num w:numId="3">
    <w:abstractNumId w:val="1"/>
  </w:num>
  <w:num w:numId="4">
    <w:abstractNumId w:val="8"/>
  </w:num>
  <w:num w:numId="5">
    <w:abstractNumId w:val="2"/>
  </w:num>
  <w:num w:numId="6">
    <w:abstractNumId w:val="4"/>
  </w:num>
  <w:num w:numId="7">
    <w:abstractNumId w:val="9"/>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MGMzZGNiYzc5YjUwYTg1NGMxNWRjZjIzY2FiZGQifQ=="/>
  </w:docVars>
  <w:rsids>
    <w:rsidRoot w:val="00000000"/>
    <w:rsid w:val="0E1D7D59"/>
    <w:rsid w:val="342C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1254</Words>
  <Characters>1402</Characters>
  <Lines>0</Lines>
  <Paragraphs>0</Paragraphs>
  <TotalTime>5</TotalTime>
  <ScaleCrop>false</ScaleCrop>
  <LinksUpToDate>false</LinksUpToDate>
  <CharactersWithSpaces>1446</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2023-02-27T02:51:37Z</dcterms:created>
  <dc:creator>GH</dc:creator>
  <cp:lastModifiedBy>制造邦  制造兴邦-邦交天下</cp:lastModifiedBy>
  <dcterms:modified xsi:type="dcterms:W3CDTF">2023-02-27T02:56:45Z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70AA0F488BE5439C8377D7C0E56D2CF0</vt:lpwstr>
  </property>
</Properties>
</file>